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ECD5" w14:textId="611D19DE" w:rsidR="00D7666F" w:rsidRPr="00D7666F" w:rsidRDefault="00D7666F" w:rsidP="00D7666F">
      <w:pPr>
        <w:rPr>
          <w:b/>
        </w:rPr>
      </w:pPr>
      <w:r w:rsidRPr="00D7666F">
        <w:rPr>
          <w:noProof/>
        </w:rPr>
        <w:drawing>
          <wp:inline distT="0" distB="0" distL="0" distR="0" wp14:anchorId="29B837DD" wp14:editId="0E9E11CA">
            <wp:extent cx="428625" cy="609600"/>
            <wp:effectExtent l="0" t="0" r="9525" b="0"/>
            <wp:docPr id="39228407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r w:rsidRPr="00D7666F">
        <w:rPr>
          <w:lang w:val="de-DE"/>
        </w:rPr>
        <w:t xml:space="preserve"> </w:t>
      </w:r>
      <w:r w:rsidRPr="00D7666F">
        <w:rPr>
          <w:b/>
        </w:rPr>
        <w:t xml:space="preserve">OSNOVNA ŠKOLA </w:t>
      </w:r>
    </w:p>
    <w:p w14:paraId="17E16F2A" w14:textId="77777777" w:rsidR="00D7666F" w:rsidRPr="00D7666F" w:rsidRDefault="00D7666F" w:rsidP="00D7666F">
      <w:r w:rsidRPr="00D7666F">
        <w:t>„SLAVA RAŠKAJ“, OZALJ</w:t>
      </w:r>
    </w:p>
    <w:p w14:paraId="3E72522F" w14:textId="77777777" w:rsidR="00D7666F" w:rsidRPr="00D7666F" w:rsidRDefault="00D7666F" w:rsidP="00D7666F">
      <w:pPr>
        <w:rPr>
          <w:b/>
          <w:lang w:val="de-DE"/>
        </w:rPr>
      </w:pPr>
      <w:r w:rsidRPr="00D7666F">
        <w:t xml:space="preserve">     </w:t>
      </w:r>
      <w:r w:rsidRPr="00D7666F">
        <w:rPr>
          <w:b/>
          <w:lang w:val="de-DE"/>
        </w:rPr>
        <w:t xml:space="preserve">ŠKOLSKI ODBOR </w:t>
      </w:r>
    </w:p>
    <w:p w14:paraId="42C7AA31" w14:textId="77777777" w:rsidR="00D7666F" w:rsidRPr="00D7666F" w:rsidRDefault="00D7666F" w:rsidP="00D7666F">
      <w:r w:rsidRPr="00D7666F">
        <w:t>KLASA: 600-04/26-03/3</w:t>
      </w:r>
    </w:p>
    <w:p w14:paraId="00D900D5" w14:textId="4F662C78" w:rsidR="00D7666F" w:rsidRPr="00D7666F" w:rsidRDefault="00D7666F" w:rsidP="00D7666F">
      <w:r w:rsidRPr="00D7666F">
        <w:t>URBROJ: 2133-35-26-</w:t>
      </w:r>
      <w:r w:rsidR="0063630A">
        <w:t>4</w:t>
      </w:r>
    </w:p>
    <w:p w14:paraId="2001957E" w14:textId="77777777" w:rsidR="00D7666F" w:rsidRPr="00D7666F" w:rsidRDefault="00D7666F" w:rsidP="00D7666F">
      <w:r w:rsidRPr="00D7666F">
        <w:t>Ozalj, 13.3.2026. godine</w:t>
      </w:r>
    </w:p>
    <w:p w14:paraId="77D0B965" w14:textId="77777777" w:rsidR="00D7666F" w:rsidRPr="00D7666F" w:rsidRDefault="00D7666F" w:rsidP="00D7666F">
      <w:pPr>
        <w:rPr>
          <w:b/>
          <w:bCs/>
        </w:rPr>
      </w:pPr>
    </w:p>
    <w:p w14:paraId="1D654CFE" w14:textId="77777777" w:rsidR="00D7666F" w:rsidRPr="00D7666F" w:rsidRDefault="00D7666F" w:rsidP="00D7666F">
      <w:pPr>
        <w:rPr>
          <w:i/>
          <w:iCs/>
        </w:rPr>
      </w:pPr>
    </w:p>
    <w:p w14:paraId="524780B8" w14:textId="40C5053B" w:rsidR="00D7666F" w:rsidRPr="00D7666F" w:rsidRDefault="00D7666F" w:rsidP="00D7666F">
      <w:r w:rsidRPr="00D7666F">
        <w:t>Temeljem članka 19. Statuta Osnovne škole „Slava Raškaj“ na 13. sjednici održanoj dana 13. ožujka 2026. godine Školski odbor Osnovne škole „Slava Raškaj“ donio je posebne izvještaje kao sastavni dio godišnjeg izvještaja o izvršenju financijskog plana za 2025. godinu.</w:t>
      </w:r>
    </w:p>
    <w:p w14:paraId="5FD0C6F5" w14:textId="393EF488" w:rsidR="00167268" w:rsidRPr="00D7666F" w:rsidRDefault="00167268" w:rsidP="00167268">
      <w:pPr>
        <w:rPr>
          <w:sz w:val="24"/>
          <w:szCs w:val="24"/>
        </w:rPr>
      </w:pPr>
    </w:p>
    <w:p w14:paraId="040CCD5B" w14:textId="10152A16" w:rsidR="00167268" w:rsidRPr="00D7666F" w:rsidRDefault="00AB2AB9" w:rsidP="00D7666F">
      <w:pPr>
        <w:pStyle w:val="Odlomakpopisa"/>
        <w:ind w:left="0"/>
        <w:rPr>
          <w:b/>
          <w:bCs/>
          <w:sz w:val="24"/>
          <w:szCs w:val="24"/>
        </w:rPr>
      </w:pPr>
      <w:r w:rsidRPr="00D7666F">
        <w:rPr>
          <w:b/>
          <w:bCs/>
          <w:sz w:val="24"/>
          <w:szCs w:val="24"/>
        </w:rPr>
        <w:t xml:space="preserve">PRILOG 1: IZVJEŠTAJ O PRIMLJENIM BIANKO ZADUŽNICAMA  </w:t>
      </w:r>
    </w:p>
    <w:p w14:paraId="54F18CE6" w14:textId="77777777" w:rsidR="00AB2AB9" w:rsidRPr="00D7666F" w:rsidRDefault="00AB2AB9" w:rsidP="00167268">
      <w:pPr>
        <w:pStyle w:val="Odlomakpopisa"/>
        <w:ind w:left="1080"/>
        <w:rPr>
          <w:sz w:val="24"/>
          <w:szCs w:val="24"/>
        </w:rPr>
      </w:pPr>
    </w:p>
    <w:p w14:paraId="726EFA55" w14:textId="7DA54C41" w:rsidR="00167268" w:rsidRPr="00D7666F" w:rsidRDefault="00167268" w:rsidP="00167268">
      <w:pPr>
        <w:pStyle w:val="Odlomakpopisa"/>
        <w:ind w:left="1080"/>
        <w:rPr>
          <w:sz w:val="24"/>
          <w:szCs w:val="24"/>
        </w:rPr>
      </w:pPr>
      <w:r w:rsidRPr="00D7666F">
        <w:rPr>
          <w:sz w:val="24"/>
          <w:szCs w:val="24"/>
        </w:rPr>
        <w:t xml:space="preserve">Škola ima dvije primljene </w:t>
      </w:r>
      <w:proofErr w:type="spellStart"/>
      <w:r w:rsidRPr="00D7666F">
        <w:rPr>
          <w:sz w:val="24"/>
          <w:szCs w:val="24"/>
        </w:rPr>
        <w:t>bianko</w:t>
      </w:r>
      <w:proofErr w:type="spellEnd"/>
      <w:r w:rsidRPr="00D7666F">
        <w:rPr>
          <w:sz w:val="24"/>
          <w:szCs w:val="24"/>
        </w:rPr>
        <w:t xml:space="preserve"> zadužnice kao jamstvo za uredno ispunjenje ugovora za slučaj povrede ugovornih obveza</w:t>
      </w:r>
    </w:p>
    <w:p w14:paraId="37D1681F" w14:textId="77777777" w:rsidR="00167268" w:rsidRPr="00D7666F" w:rsidRDefault="00167268" w:rsidP="00167268">
      <w:pPr>
        <w:pStyle w:val="Odlomakpopisa"/>
        <w:ind w:left="1080"/>
        <w:rPr>
          <w:sz w:val="24"/>
          <w:szCs w:val="24"/>
        </w:rPr>
      </w:pPr>
    </w:p>
    <w:p w14:paraId="0B22C888" w14:textId="0C808BA2" w:rsidR="00167268" w:rsidRPr="00D7666F" w:rsidRDefault="00167268" w:rsidP="00167268">
      <w:pPr>
        <w:pStyle w:val="Odlomakpopisa"/>
        <w:ind w:left="1080"/>
        <w:rPr>
          <w:sz w:val="24"/>
          <w:szCs w:val="24"/>
        </w:rPr>
      </w:pPr>
      <w:r w:rsidRPr="00D7666F">
        <w:rPr>
          <w:sz w:val="24"/>
          <w:szCs w:val="24"/>
        </w:rPr>
        <w:t>Evidencija primljenih jamstava na dan 31. 12. 2025.</w:t>
      </w:r>
    </w:p>
    <w:p w14:paraId="5F5332A7" w14:textId="77777777" w:rsidR="00167268" w:rsidRPr="00D7666F" w:rsidRDefault="00167268" w:rsidP="00167268">
      <w:pPr>
        <w:pStyle w:val="Odlomakpopisa"/>
        <w:ind w:left="1080"/>
        <w:rPr>
          <w:sz w:val="24"/>
          <w:szCs w:val="24"/>
        </w:rPr>
      </w:pPr>
    </w:p>
    <w:p w14:paraId="2E163895" w14:textId="700180A3" w:rsidR="00167268" w:rsidRPr="00D7666F" w:rsidRDefault="00167268" w:rsidP="0040726D">
      <w:pPr>
        <w:rPr>
          <w:sz w:val="24"/>
          <w:szCs w:val="24"/>
        </w:rPr>
      </w:pPr>
      <w:r w:rsidRPr="00D7666F">
        <w:rPr>
          <w:sz w:val="24"/>
          <w:szCs w:val="24"/>
        </w:rPr>
        <w:t xml:space="preserve">Red. Izdavatelj   </w:t>
      </w:r>
      <w:r w:rsidR="0040726D" w:rsidRPr="00D7666F">
        <w:rPr>
          <w:sz w:val="24"/>
          <w:szCs w:val="24"/>
        </w:rPr>
        <w:t xml:space="preserve">             </w:t>
      </w:r>
      <w:r w:rsidRPr="00D7666F">
        <w:rPr>
          <w:sz w:val="24"/>
          <w:szCs w:val="24"/>
        </w:rPr>
        <w:t xml:space="preserve"> Br., mjesto i      Iznos u €           Osnova izdavanja  </w:t>
      </w:r>
      <w:r w:rsidR="0040726D" w:rsidRPr="00D7666F">
        <w:rPr>
          <w:sz w:val="24"/>
          <w:szCs w:val="24"/>
        </w:rPr>
        <w:t xml:space="preserve">     </w:t>
      </w:r>
      <w:r w:rsidRPr="00D7666F">
        <w:rPr>
          <w:sz w:val="24"/>
          <w:szCs w:val="24"/>
        </w:rPr>
        <w:t xml:space="preserve">   Rok važenja</w:t>
      </w:r>
    </w:p>
    <w:p w14:paraId="1668A1FC" w14:textId="55E9BF4F" w:rsidR="00167268" w:rsidRPr="00D7666F" w:rsidRDefault="00167268" w:rsidP="0040726D">
      <w:pPr>
        <w:rPr>
          <w:sz w:val="24"/>
          <w:szCs w:val="24"/>
        </w:rPr>
      </w:pPr>
      <w:r w:rsidRPr="00D7666F">
        <w:rPr>
          <w:sz w:val="24"/>
          <w:szCs w:val="24"/>
        </w:rPr>
        <w:t xml:space="preserve">br.     zadužnice  </w:t>
      </w:r>
      <w:r w:rsidR="0040726D" w:rsidRPr="00D7666F">
        <w:rPr>
          <w:sz w:val="24"/>
          <w:szCs w:val="24"/>
        </w:rPr>
        <w:t xml:space="preserve">        </w:t>
      </w:r>
      <w:r w:rsidRPr="00D7666F">
        <w:rPr>
          <w:sz w:val="24"/>
          <w:szCs w:val="24"/>
        </w:rPr>
        <w:t xml:space="preserve"> </w:t>
      </w:r>
      <w:r w:rsidR="0040726D" w:rsidRPr="00D7666F">
        <w:rPr>
          <w:sz w:val="24"/>
          <w:szCs w:val="24"/>
        </w:rPr>
        <w:t xml:space="preserve">     </w:t>
      </w:r>
      <w:r w:rsidRPr="00D7666F">
        <w:rPr>
          <w:sz w:val="24"/>
          <w:szCs w:val="24"/>
        </w:rPr>
        <w:t>datum ovjere                                 zadužnice</w:t>
      </w:r>
    </w:p>
    <w:p w14:paraId="67F11B2A" w14:textId="5D553175" w:rsidR="0040726D" w:rsidRPr="00D7666F" w:rsidRDefault="0040726D" w:rsidP="0040726D">
      <w:pPr>
        <w:pStyle w:val="Odlomakpopisa"/>
        <w:numPr>
          <w:ilvl w:val="0"/>
          <w:numId w:val="4"/>
        </w:numPr>
        <w:rPr>
          <w:sz w:val="24"/>
          <w:szCs w:val="24"/>
        </w:rPr>
      </w:pPr>
      <w:r w:rsidRPr="00D7666F">
        <w:rPr>
          <w:sz w:val="24"/>
          <w:szCs w:val="24"/>
        </w:rPr>
        <w:t>Forest d.o.o.   OV-25/2018     =13.272,28€    Jamstvo za uredno             1/2028</w:t>
      </w:r>
    </w:p>
    <w:p w14:paraId="64404419" w14:textId="5D357AFA" w:rsidR="00167268" w:rsidRPr="00D7666F" w:rsidRDefault="0040726D" w:rsidP="00167268">
      <w:pPr>
        <w:pStyle w:val="Odlomakpopisa"/>
        <w:ind w:left="1080"/>
        <w:rPr>
          <w:sz w:val="24"/>
          <w:szCs w:val="24"/>
        </w:rPr>
      </w:pPr>
      <w:r w:rsidRPr="00D7666F">
        <w:rPr>
          <w:sz w:val="24"/>
          <w:szCs w:val="24"/>
        </w:rPr>
        <w:t xml:space="preserve">                       Jastrebarsko                                  ispunjenje ugovora</w:t>
      </w:r>
    </w:p>
    <w:p w14:paraId="6E7FB7F3" w14:textId="318F4998" w:rsidR="00167268" w:rsidRPr="00D7666F" w:rsidRDefault="0040726D" w:rsidP="0040726D">
      <w:pPr>
        <w:pStyle w:val="Odlomakpopisa"/>
        <w:ind w:left="1080"/>
        <w:rPr>
          <w:sz w:val="24"/>
          <w:szCs w:val="24"/>
        </w:rPr>
      </w:pPr>
      <w:r w:rsidRPr="00D7666F">
        <w:rPr>
          <w:sz w:val="24"/>
          <w:szCs w:val="24"/>
        </w:rPr>
        <w:t xml:space="preserve">                       3.1.2018.                                         za slučaj povrede</w:t>
      </w:r>
    </w:p>
    <w:p w14:paraId="440E4A33" w14:textId="6FB0A7F7" w:rsidR="0040726D" w:rsidRPr="00D7666F" w:rsidRDefault="0040726D" w:rsidP="0040726D">
      <w:pPr>
        <w:pStyle w:val="Odlomakpopisa"/>
        <w:ind w:left="1080"/>
        <w:rPr>
          <w:sz w:val="24"/>
          <w:szCs w:val="24"/>
        </w:rPr>
      </w:pPr>
      <w:r w:rsidRPr="00D7666F">
        <w:rPr>
          <w:sz w:val="24"/>
          <w:szCs w:val="24"/>
        </w:rPr>
        <w:t xml:space="preserve">                                                                                    ugovornih obveza-</w:t>
      </w:r>
    </w:p>
    <w:p w14:paraId="1A4B2C82" w14:textId="592A71EB" w:rsidR="0040726D" w:rsidRPr="00D7666F" w:rsidRDefault="0040726D" w:rsidP="0040726D">
      <w:pPr>
        <w:pStyle w:val="Odlomakpopisa"/>
        <w:ind w:left="1080"/>
        <w:rPr>
          <w:sz w:val="24"/>
          <w:szCs w:val="24"/>
        </w:rPr>
      </w:pPr>
      <w:r w:rsidRPr="00D7666F">
        <w:rPr>
          <w:sz w:val="24"/>
          <w:szCs w:val="24"/>
        </w:rPr>
        <w:t xml:space="preserve">                                                                                    rekonstrukcija kotlovnice </w:t>
      </w:r>
    </w:p>
    <w:p w14:paraId="44D0CF4A" w14:textId="22D8DD60" w:rsidR="0040726D" w:rsidRPr="00D7666F" w:rsidRDefault="0040726D" w:rsidP="0040726D">
      <w:pPr>
        <w:pStyle w:val="Odlomakpopisa"/>
        <w:ind w:left="1080"/>
        <w:rPr>
          <w:sz w:val="24"/>
          <w:szCs w:val="24"/>
        </w:rPr>
      </w:pPr>
      <w:r w:rsidRPr="00D7666F">
        <w:rPr>
          <w:sz w:val="24"/>
          <w:szCs w:val="24"/>
        </w:rPr>
        <w:t xml:space="preserve">                                                                                     na biomasu</w:t>
      </w:r>
    </w:p>
    <w:p w14:paraId="22CC6A05" w14:textId="09B012B3" w:rsidR="0040726D" w:rsidRPr="00D7666F" w:rsidRDefault="0040726D" w:rsidP="0040726D">
      <w:pPr>
        <w:pStyle w:val="Odlomakpopisa"/>
        <w:numPr>
          <w:ilvl w:val="0"/>
          <w:numId w:val="4"/>
        </w:numPr>
        <w:rPr>
          <w:sz w:val="24"/>
          <w:szCs w:val="24"/>
        </w:rPr>
      </w:pPr>
      <w:r w:rsidRPr="00D7666F">
        <w:rPr>
          <w:sz w:val="24"/>
          <w:szCs w:val="24"/>
        </w:rPr>
        <w:t>Forest d.o.o.  O</w:t>
      </w:r>
      <w:r w:rsidR="00594F28" w:rsidRPr="00D7666F">
        <w:rPr>
          <w:sz w:val="24"/>
          <w:szCs w:val="24"/>
        </w:rPr>
        <w:t>V</w:t>
      </w:r>
      <w:r w:rsidRPr="00D7666F">
        <w:rPr>
          <w:sz w:val="24"/>
          <w:szCs w:val="24"/>
        </w:rPr>
        <w:t>-26/2018      =6.636,14€      Jamstvo za uredno               1/2028</w:t>
      </w:r>
    </w:p>
    <w:p w14:paraId="6C83A3A8" w14:textId="77777777" w:rsidR="0040726D" w:rsidRPr="00D7666F" w:rsidRDefault="0040726D" w:rsidP="0040726D">
      <w:pPr>
        <w:pStyle w:val="Odlomakpopisa"/>
        <w:rPr>
          <w:sz w:val="24"/>
          <w:szCs w:val="24"/>
        </w:rPr>
      </w:pPr>
      <w:r w:rsidRPr="00D7666F">
        <w:rPr>
          <w:sz w:val="24"/>
          <w:szCs w:val="24"/>
        </w:rPr>
        <w:t xml:space="preserve">                             Jastrebarsko                                  ispunjenje ugovora</w:t>
      </w:r>
    </w:p>
    <w:p w14:paraId="243F0A8E" w14:textId="77777777" w:rsidR="0040726D" w:rsidRPr="00D7666F" w:rsidRDefault="0040726D" w:rsidP="0040726D">
      <w:pPr>
        <w:pStyle w:val="Odlomakpopisa"/>
        <w:rPr>
          <w:sz w:val="24"/>
          <w:szCs w:val="24"/>
        </w:rPr>
      </w:pPr>
      <w:r w:rsidRPr="00D7666F">
        <w:rPr>
          <w:sz w:val="24"/>
          <w:szCs w:val="24"/>
        </w:rPr>
        <w:t xml:space="preserve">                              3.1.2018.                                        za slučaj povrede</w:t>
      </w:r>
    </w:p>
    <w:p w14:paraId="267541B8" w14:textId="554E4FAA" w:rsidR="0040726D" w:rsidRPr="00D7666F" w:rsidRDefault="0040726D" w:rsidP="0040726D">
      <w:pPr>
        <w:pStyle w:val="Odlomakpopisa"/>
        <w:rPr>
          <w:sz w:val="24"/>
          <w:szCs w:val="24"/>
        </w:rPr>
      </w:pPr>
      <w:r w:rsidRPr="00D7666F">
        <w:rPr>
          <w:sz w:val="24"/>
          <w:szCs w:val="24"/>
        </w:rPr>
        <w:t xml:space="preserve">                                                                                          ugovornih obveza- </w:t>
      </w:r>
    </w:p>
    <w:p w14:paraId="65DD39FB" w14:textId="3FD7902A" w:rsidR="0040726D" w:rsidRPr="00D7666F" w:rsidRDefault="0040726D" w:rsidP="0040726D">
      <w:pPr>
        <w:pStyle w:val="Odlomakpopisa"/>
        <w:rPr>
          <w:sz w:val="24"/>
          <w:szCs w:val="24"/>
        </w:rPr>
      </w:pPr>
      <w:r w:rsidRPr="00D7666F">
        <w:rPr>
          <w:sz w:val="24"/>
          <w:szCs w:val="24"/>
        </w:rPr>
        <w:t xml:space="preserve">                                                                                          rekonstrukcija kotlovnice</w:t>
      </w:r>
    </w:p>
    <w:p w14:paraId="0026D9D5" w14:textId="486F232E" w:rsidR="0040726D" w:rsidRPr="00D7666F" w:rsidRDefault="0040726D" w:rsidP="0040726D">
      <w:pPr>
        <w:pStyle w:val="Odlomakpopisa"/>
        <w:rPr>
          <w:sz w:val="24"/>
          <w:szCs w:val="24"/>
        </w:rPr>
      </w:pPr>
      <w:r w:rsidRPr="00D7666F">
        <w:rPr>
          <w:sz w:val="24"/>
          <w:szCs w:val="24"/>
        </w:rPr>
        <w:t xml:space="preserve">                                                                                          na biomasu</w:t>
      </w:r>
    </w:p>
    <w:p w14:paraId="5580FBE6" w14:textId="409C2C9A" w:rsidR="0040726D" w:rsidRPr="00D7666F" w:rsidRDefault="0040726D" w:rsidP="0040726D">
      <w:pPr>
        <w:rPr>
          <w:sz w:val="24"/>
          <w:szCs w:val="24"/>
        </w:rPr>
      </w:pPr>
      <w:r w:rsidRPr="00D7666F">
        <w:rPr>
          <w:sz w:val="24"/>
          <w:szCs w:val="24"/>
        </w:rPr>
        <w:t xml:space="preserve">                                                      </w:t>
      </w:r>
    </w:p>
    <w:p w14:paraId="3137A812" w14:textId="726B8515" w:rsidR="00DD72EB" w:rsidRPr="00D7666F" w:rsidRDefault="0040726D" w:rsidP="00DD72EB">
      <w:r w:rsidRPr="00D7666F">
        <w:t xml:space="preserve">                                                                                                                                                                     </w:t>
      </w:r>
    </w:p>
    <w:p w14:paraId="06A85AFE" w14:textId="40D0461C" w:rsidR="00DD72EB" w:rsidRPr="00D7666F" w:rsidRDefault="00AB2AB9" w:rsidP="00DD72EB">
      <w:pPr>
        <w:rPr>
          <w:b/>
          <w:bCs/>
          <w:sz w:val="24"/>
          <w:szCs w:val="24"/>
        </w:rPr>
      </w:pPr>
      <w:r w:rsidRPr="00D7666F">
        <w:rPr>
          <w:b/>
          <w:bCs/>
          <w:sz w:val="24"/>
          <w:szCs w:val="24"/>
        </w:rPr>
        <w:lastRenderedPageBreak/>
        <w:t>PRILOG 2: IZVJEŠTAJ O KORIŠTENJU SREDSTAVA FONDOVA EUROPSKE UNIJE</w:t>
      </w:r>
    </w:p>
    <w:p w14:paraId="5B1BA12A" w14:textId="77777777" w:rsidR="00AB2AB9" w:rsidRPr="00D7666F" w:rsidRDefault="00AB2AB9" w:rsidP="00DD72EB">
      <w:pPr>
        <w:rPr>
          <w:b/>
          <w:bCs/>
          <w:sz w:val="24"/>
          <w:szCs w:val="24"/>
        </w:rPr>
      </w:pPr>
    </w:p>
    <w:p w14:paraId="56594785" w14:textId="2F126242" w:rsidR="00AB2AB9" w:rsidRPr="00D7666F" w:rsidRDefault="00385EFA" w:rsidP="00DD72EB">
      <w:pPr>
        <w:rPr>
          <w:sz w:val="24"/>
          <w:szCs w:val="24"/>
        </w:rPr>
      </w:pPr>
      <w:r w:rsidRPr="00D7666F">
        <w:rPr>
          <w:sz w:val="24"/>
          <w:szCs w:val="24"/>
        </w:rPr>
        <w:t>Člankom 46. stavak 2. Pravilnika o polugodišnjem i godišnjem izvršenju proračuna i financijskog plana (NN 85/23) Osnovna škola „Slava Raškaj“ obavezna je podnositi Poseban izvještaj o korištenju sredstava fondova Europske unije. Ovaj Poseban izvještaj je ujedno i sastavni dio Godišnjeg izvještaja o izvršenju financijskog plana za 2025. godinu Osnovne škole „Slava Raškaj“.</w:t>
      </w:r>
    </w:p>
    <w:p w14:paraId="75156353" w14:textId="77777777" w:rsidR="00385EFA" w:rsidRPr="00D7666F" w:rsidRDefault="00385EFA" w:rsidP="00DD72EB">
      <w:pPr>
        <w:rPr>
          <w:sz w:val="24"/>
          <w:szCs w:val="24"/>
        </w:rPr>
      </w:pPr>
    </w:p>
    <w:p w14:paraId="4BFA00EA" w14:textId="472AAA89" w:rsidR="00385EFA" w:rsidRPr="00D7666F" w:rsidRDefault="00385EFA" w:rsidP="00DD72EB">
      <w:pPr>
        <w:rPr>
          <w:sz w:val="24"/>
          <w:szCs w:val="24"/>
        </w:rPr>
      </w:pPr>
      <w:r w:rsidRPr="00D7666F">
        <w:rPr>
          <w:sz w:val="24"/>
          <w:szCs w:val="24"/>
        </w:rPr>
        <w:t xml:space="preserve">Sredstva fondova Europske unije se odnose </w:t>
      </w:r>
      <w:r w:rsidR="000A6725" w:rsidRPr="00D7666F">
        <w:rPr>
          <w:sz w:val="24"/>
          <w:szCs w:val="24"/>
        </w:rPr>
        <w:t>na financiranje pomoćnika u nastavi u sklopu projekta „Karlovačka županija za inkluzivne škole“ što je financirano iz Europskog socijalnog fonda, a dio sufinanciran iz sredstava Karlovačke županije. U školskoj godini 2024/2025 bila je zaposlena 1 pomoćnica u nastavi, dok su u školskoj godini 2026/2026 zaposlene 2 pomoćnice u nastavi.</w:t>
      </w:r>
    </w:p>
    <w:p w14:paraId="1EE5BDC8" w14:textId="77777777" w:rsidR="000A6725" w:rsidRPr="00D7666F" w:rsidRDefault="000A6725" w:rsidP="00DD72EB">
      <w:pPr>
        <w:rPr>
          <w:sz w:val="24"/>
          <w:szCs w:val="24"/>
        </w:rPr>
      </w:pPr>
    </w:p>
    <w:p w14:paraId="30CB4D9C" w14:textId="47A5D94D" w:rsidR="000A6725" w:rsidRPr="00D7666F" w:rsidRDefault="000A6725" w:rsidP="00DD72EB">
      <w:pPr>
        <w:rPr>
          <w:sz w:val="24"/>
          <w:szCs w:val="24"/>
        </w:rPr>
      </w:pPr>
      <w:r w:rsidRPr="00D7666F">
        <w:rPr>
          <w:sz w:val="24"/>
          <w:szCs w:val="24"/>
        </w:rPr>
        <w:t xml:space="preserve">U tablici u privitku razrađeni su prihodi i rashodi koji se odnose na financiranje izvora sredstava Europske unije u 2025. godini. Zbog ukidanja konta 193 i metodologije knjiženja ( </w:t>
      </w:r>
      <w:r w:rsidR="00327F2B" w:rsidRPr="00D7666F">
        <w:rPr>
          <w:sz w:val="24"/>
          <w:szCs w:val="24"/>
        </w:rPr>
        <w:t>rashod plaće 12/2025 proknjižen u 2025. godini, a prihod kad je plaća isplaćena u 2026. godini ) u tablici je vidljivo da su rashodi veći od prihoda.</w:t>
      </w:r>
    </w:p>
    <w:p w14:paraId="2FFC3A9F" w14:textId="77777777" w:rsidR="00DD72EB" w:rsidRPr="00D7666F" w:rsidRDefault="00DD72EB" w:rsidP="00DD72EB"/>
    <w:p w14:paraId="245AF0E3" w14:textId="77777777" w:rsidR="00DD72EB" w:rsidRPr="00D7666F" w:rsidRDefault="00DD72EB" w:rsidP="00DD72EB"/>
    <w:tbl>
      <w:tblPr>
        <w:tblStyle w:val="Reetkatablice"/>
        <w:tblW w:w="0" w:type="auto"/>
        <w:tblLook w:val="04A0" w:firstRow="1" w:lastRow="0" w:firstColumn="1" w:lastColumn="0" w:noHBand="0" w:noVBand="1"/>
      </w:tblPr>
      <w:tblGrid>
        <w:gridCol w:w="1223"/>
        <w:gridCol w:w="1109"/>
        <w:gridCol w:w="1565"/>
        <w:gridCol w:w="1165"/>
        <w:gridCol w:w="1165"/>
        <w:gridCol w:w="1423"/>
      </w:tblGrid>
      <w:tr w:rsidR="00BA5CC0" w:rsidRPr="00D7666F" w14:paraId="3363B844" w14:textId="77777777" w:rsidTr="00833DE7">
        <w:tc>
          <w:tcPr>
            <w:tcW w:w="1223" w:type="dxa"/>
          </w:tcPr>
          <w:p w14:paraId="052F9A6C" w14:textId="77777777" w:rsidR="00BA5CC0" w:rsidRPr="00D7666F" w:rsidRDefault="00BA5CC0" w:rsidP="00833DE7">
            <w:r w:rsidRPr="00D7666F">
              <w:t>Naziv projekta</w:t>
            </w:r>
          </w:p>
        </w:tc>
        <w:tc>
          <w:tcPr>
            <w:tcW w:w="1109" w:type="dxa"/>
          </w:tcPr>
          <w:p w14:paraId="0E43C714" w14:textId="77777777" w:rsidR="00BA5CC0" w:rsidRPr="00D7666F" w:rsidRDefault="00BA5CC0" w:rsidP="00833DE7">
            <w:r w:rsidRPr="00D7666F">
              <w:t>Godina  provedbe projekta</w:t>
            </w:r>
          </w:p>
        </w:tc>
        <w:tc>
          <w:tcPr>
            <w:tcW w:w="1565" w:type="dxa"/>
          </w:tcPr>
          <w:p w14:paraId="5938F353" w14:textId="77777777" w:rsidR="00BA5CC0" w:rsidRPr="00D7666F" w:rsidRDefault="00BA5CC0" w:rsidP="00833DE7">
            <w:r w:rsidRPr="00D7666F">
              <w:t>Izvor financiranja</w:t>
            </w:r>
          </w:p>
        </w:tc>
        <w:tc>
          <w:tcPr>
            <w:tcW w:w="1165" w:type="dxa"/>
          </w:tcPr>
          <w:p w14:paraId="78DBA5AB" w14:textId="77777777" w:rsidR="00BA5CC0" w:rsidRPr="00D7666F" w:rsidRDefault="00BA5CC0" w:rsidP="00833DE7">
            <w:r w:rsidRPr="00D7666F">
              <w:t>Ostvareni prihodi 2025.g.</w:t>
            </w:r>
          </w:p>
        </w:tc>
        <w:tc>
          <w:tcPr>
            <w:tcW w:w="1165" w:type="dxa"/>
          </w:tcPr>
          <w:p w14:paraId="1D6F8E41" w14:textId="77777777" w:rsidR="00BA5CC0" w:rsidRPr="00D7666F" w:rsidRDefault="00BA5CC0" w:rsidP="00833DE7">
            <w:r w:rsidRPr="00D7666F">
              <w:t>Izvršeni rashodi 2025.g.</w:t>
            </w:r>
          </w:p>
        </w:tc>
        <w:tc>
          <w:tcPr>
            <w:tcW w:w="1423" w:type="dxa"/>
          </w:tcPr>
          <w:p w14:paraId="5BB11446" w14:textId="77777777" w:rsidR="00BA5CC0" w:rsidRPr="00D7666F" w:rsidRDefault="00BA5CC0" w:rsidP="00833DE7">
            <w:r w:rsidRPr="00D7666F">
              <w:t>Razlika</w:t>
            </w:r>
          </w:p>
        </w:tc>
      </w:tr>
      <w:tr w:rsidR="00BA5CC0" w:rsidRPr="00D7666F" w14:paraId="1BEF3981" w14:textId="77777777" w:rsidTr="00833DE7">
        <w:tc>
          <w:tcPr>
            <w:tcW w:w="1223" w:type="dxa"/>
          </w:tcPr>
          <w:p w14:paraId="13A0E5B1" w14:textId="77777777" w:rsidR="00BA5CC0" w:rsidRPr="00D7666F" w:rsidRDefault="00BA5CC0" w:rsidP="00833DE7">
            <w:r w:rsidRPr="00D7666F">
              <w:t>A1000128 Pomoćnici u nastavi</w:t>
            </w:r>
          </w:p>
        </w:tc>
        <w:tc>
          <w:tcPr>
            <w:tcW w:w="1109" w:type="dxa"/>
          </w:tcPr>
          <w:p w14:paraId="1E987ABD" w14:textId="77777777" w:rsidR="00BA5CC0" w:rsidRPr="00D7666F" w:rsidRDefault="00BA5CC0" w:rsidP="00833DE7">
            <w:r w:rsidRPr="00D7666F">
              <w:t>2025.</w:t>
            </w:r>
          </w:p>
        </w:tc>
        <w:tc>
          <w:tcPr>
            <w:tcW w:w="1565" w:type="dxa"/>
          </w:tcPr>
          <w:p w14:paraId="5AA96A6B" w14:textId="77777777" w:rsidR="00BA5CC0" w:rsidRPr="00D7666F" w:rsidRDefault="00BA5CC0" w:rsidP="00833DE7">
            <w:r w:rsidRPr="00D7666F">
              <w:t>5012-Nacionalno</w:t>
            </w:r>
          </w:p>
          <w:p w14:paraId="306468D5" w14:textId="77777777" w:rsidR="00BA5CC0" w:rsidRPr="00D7666F" w:rsidRDefault="00BA5CC0" w:rsidP="00833DE7">
            <w:r w:rsidRPr="00D7666F">
              <w:t>sufinanciranje</w:t>
            </w:r>
          </w:p>
          <w:p w14:paraId="171684AE" w14:textId="77777777" w:rsidR="00BA5CC0" w:rsidRPr="00D7666F" w:rsidRDefault="00BA5CC0" w:rsidP="00833DE7"/>
        </w:tc>
        <w:tc>
          <w:tcPr>
            <w:tcW w:w="1165" w:type="dxa"/>
          </w:tcPr>
          <w:p w14:paraId="55ECBDC2" w14:textId="77777777" w:rsidR="00BA5CC0" w:rsidRPr="00D7666F" w:rsidRDefault="00BA5CC0" w:rsidP="00833DE7">
            <w:r w:rsidRPr="00D7666F">
              <w:t>1.193,87€</w:t>
            </w:r>
          </w:p>
        </w:tc>
        <w:tc>
          <w:tcPr>
            <w:tcW w:w="1165" w:type="dxa"/>
          </w:tcPr>
          <w:p w14:paraId="76389E4E" w14:textId="77777777" w:rsidR="00BA5CC0" w:rsidRPr="00D7666F" w:rsidRDefault="00BA5CC0" w:rsidP="00833DE7">
            <w:r w:rsidRPr="00D7666F">
              <w:t>1.295,24€</w:t>
            </w:r>
          </w:p>
        </w:tc>
        <w:tc>
          <w:tcPr>
            <w:tcW w:w="1423" w:type="dxa"/>
          </w:tcPr>
          <w:p w14:paraId="751E0693" w14:textId="77777777" w:rsidR="00BA5CC0" w:rsidRPr="00D7666F" w:rsidRDefault="00BA5CC0" w:rsidP="00833DE7">
            <w:r w:rsidRPr="00D7666F">
              <w:t>-101,37€</w:t>
            </w:r>
          </w:p>
        </w:tc>
      </w:tr>
      <w:tr w:rsidR="00BA5CC0" w:rsidRPr="00D7666F" w14:paraId="50DE486D" w14:textId="77777777" w:rsidTr="00833DE7">
        <w:tc>
          <w:tcPr>
            <w:tcW w:w="1223" w:type="dxa"/>
          </w:tcPr>
          <w:p w14:paraId="437DC655" w14:textId="77777777" w:rsidR="00BA5CC0" w:rsidRPr="00D7666F" w:rsidRDefault="00BA5CC0" w:rsidP="00833DE7">
            <w:r w:rsidRPr="00D7666F">
              <w:t>A1000128 Pomoćnici u nastavi</w:t>
            </w:r>
          </w:p>
        </w:tc>
        <w:tc>
          <w:tcPr>
            <w:tcW w:w="1109" w:type="dxa"/>
          </w:tcPr>
          <w:p w14:paraId="4B2E74C2" w14:textId="77777777" w:rsidR="00BA5CC0" w:rsidRPr="00D7666F" w:rsidRDefault="00BA5CC0" w:rsidP="00833DE7">
            <w:r w:rsidRPr="00D7666F">
              <w:t>2025.</w:t>
            </w:r>
          </w:p>
        </w:tc>
        <w:tc>
          <w:tcPr>
            <w:tcW w:w="1565" w:type="dxa"/>
          </w:tcPr>
          <w:p w14:paraId="50421410" w14:textId="77777777" w:rsidR="00BA5CC0" w:rsidRPr="00D7666F" w:rsidRDefault="00BA5CC0" w:rsidP="00833DE7">
            <w:r w:rsidRPr="00D7666F">
              <w:t>561- Europski socijalni fond plus</w:t>
            </w:r>
          </w:p>
        </w:tc>
        <w:tc>
          <w:tcPr>
            <w:tcW w:w="1165" w:type="dxa"/>
          </w:tcPr>
          <w:p w14:paraId="12087EA2" w14:textId="77777777" w:rsidR="00BA5CC0" w:rsidRPr="00D7666F" w:rsidRDefault="00BA5CC0" w:rsidP="00833DE7">
            <w:r w:rsidRPr="00D7666F">
              <w:t>6.765,61€</w:t>
            </w:r>
          </w:p>
        </w:tc>
        <w:tc>
          <w:tcPr>
            <w:tcW w:w="1165" w:type="dxa"/>
          </w:tcPr>
          <w:p w14:paraId="6AEED801" w14:textId="77777777" w:rsidR="00BA5CC0" w:rsidRPr="00D7666F" w:rsidRDefault="00BA5CC0" w:rsidP="00833DE7">
            <w:r w:rsidRPr="00D7666F">
              <w:t>7.340,05€</w:t>
            </w:r>
          </w:p>
        </w:tc>
        <w:tc>
          <w:tcPr>
            <w:tcW w:w="1423" w:type="dxa"/>
          </w:tcPr>
          <w:p w14:paraId="67E17F52" w14:textId="77777777" w:rsidR="00BA5CC0" w:rsidRPr="00D7666F" w:rsidRDefault="00BA5CC0" w:rsidP="00833DE7">
            <w:r w:rsidRPr="00D7666F">
              <w:t>-574,44€</w:t>
            </w:r>
          </w:p>
        </w:tc>
      </w:tr>
    </w:tbl>
    <w:p w14:paraId="290978CD" w14:textId="77777777" w:rsidR="00DD72EB" w:rsidRPr="00D7666F" w:rsidRDefault="00DD72EB" w:rsidP="00DD72EB"/>
    <w:p w14:paraId="2E837D8A" w14:textId="77777777" w:rsidR="00DD72EB" w:rsidRPr="00D7666F" w:rsidRDefault="00DD72EB" w:rsidP="00DD72EB"/>
    <w:p w14:paraId="4204956C" w14:textId="77777777" w:rsidR="00DD72EB" w:rsidRPr="00D7666F" w:rsidRDefault="00DD72EB" w:rsidP="00DD72EB"/>
    <w:p w14:paraId="1B21785C" w14:textId="77777777" w:rsidR="00D7666F" w:rsidRPr="00D7666F" w:rsidRDefault="00D7666F" w:rsidP="00D7666F">
      <w:pPr>
        <w:autoSpaceDE w:val="0"/>
        <w:autoSpaceDN w:val="0"/>
        <w:adjustRightInd w:val="0"/>
        <w:spacing w:after="0" w:line="240" w:lineRule="auto"/>
        <w:jc w:val="right"/>
        <w:rPr>
          <w:rFonts w:cs="TimesNewRomanPS-ItalicMT"/>
          <w:sz w:val="24"/>
          <w:szCs w:val="24"/>
        </w:rPr>
      </w:pPr>
      <w:r w:rsidRPr="00D7666F">
        <w:rPr>
          <w:rFonts w:cs="TimesNewRomanPS-ItalicMT"/>
          <w:sz w:val="24"/>
          <w:szCs w:val="24"/>
        </w:rPr>
        <w:t>Predsjednica Školskog odbora:</w:t>
      </w:r>
    </w:p>
    <w:p w14:paraId="6E131126" w14:textId="77777777" w:rsidR="00D7666F" w:rsidRPr="00D7666F" w:rsidRDefault="00D7666F" w:rsidP="00D7666F">
      <w:pPr>
        <w:autoSpaceDE w:val="0"/>
        <w:autoSpaceDN w:val="0"/>
        <w:adjustRightInd w:val="0"/>
        <w:spacing w:after="0" w:line="240" w:lineRule="auto"/>
        <w:jc w:val="center"/>
        <w:rPr>
          <w:rFonts w:cs="TimesNewRomanPS-ItalicMT"/>
          <w:sz w:val="24"/>
          <w:szCs w:val="24"/>
        </w:rPr>
      </w:pP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r>
      <w:r w:rsidRPr="00D7666F">
        <w:rPr>
          <w:rFonts w:cs="TimesNewRomanPS-ItalicMT"/>
          <w:sz w:val="24"/>
          <w:szCs w:val="24"/>
        </w:rPr>
        <w:tab/>
        <w:t>Sandra Prebeg</w:t>
      </w:r>
    </w:p>
    <w:p w14:paraId="6C85D3B1" w14:textId="77777777" w:rsidR="00D7666F" w:rsidRPr="00D7666F" w:rsidRDefault="00D7666F" w:rsidP="00D7666F">
      <w:pPr>
        <w:autoSpaceDE w:val="0"/>
        <w:autoSpaceDN w:val="0"/>
        <w:adjustRightInd w:val="0"/>
        <w:spacing w:after="0" w:line="240" w:lineRule="auto"/>
        <w:jc w:val="right"/>
        <w:rPr>
          <w:rFonts w:cs="TimesNewRomanPS-ItalicMT"/>
          <w:sz w:val="24"/>
          <w:szCs w:val="24"/>
        </w:rPr>
      </w:pPr>
    </w:p>
    <w:p w14:paraId="651714ED" w14:textId="77777777" w:rsidR="00D7666F" w:rsidRPr="00D7666F" w:rsidRDefault="00D7666F" w:rsidP="00D7666F">
      <w:pPr>
        <w:autoSpaceDE w:val="0"/>
        <w:autoSpaceDN w:val="0"/>
        <w:adjustRightInd w:val="0"/>
        <w:spacing w:after="0" w:line="240" w:lineRule="auto"/>
        <w:jc w:val="right"/>
        <w:rPr>
          <w:rFonts w:cs="TimesNewRomanPS-ItalicMT"/>
          <w:sz w:val="24"/>
          <w:szCs w:val="24"/>
        </w:rPr>
      </w:pPr>
    </w:p>
    <w:p w14:paraId="418AAA07" w14:textId="77777777" w:rsidR="00D7666F" w:rsidRPr="00D7666F" w:rsidRDefault="00D7666F" w:rsidP="00D7666F">
      <w:pPr>
        <w:autoSpaceDE w:val="0"/>
        <w:autoSpaceDN w:val="0"/>
        <w:adjustRightInd w:val="0"/>
        <w:spacing w:after="0" w:line="240" w:lineRule="auto"/>
        <w:jc w:val="right"/>
        <w:rPr>
          <w:rFonts w:cs="TimesNewRomanPS-ItalicMT"/>
          <w:sz w:val="24"/>
          <w:szCs w:val="24"/>
        </w:rPr>
      </w:pPr>
      <w:r w:rsidRPr="00D7666F">
        <w:rPr>
          <w:rFonts w:cs="TimesNewRomanPS-ItalicMT"/>
          <w:sz w:val="24"/>
          <w:szCs w:val="24"/>
        </w:rPr>
        <w:t>__________________________</w:t>
      </w:r>
    </w:p>
    <w:p w14:paraId="28D65232" w14:textId="77777777" w:rsidR="00DD72EB" w:rsidRPr="00D7666F" w:rsidRDefault="00DD72EB" w:rsidP="00DD72EB"/>
    <w:p w14:paraId="69FECF55" w14:textId="77777777" w:rsidR="00DD72EB" w:rsidRPr="00D7666F" w:rsidRDefault="00DD72EB" w:rsidP="00DD72EB"/>
    <w:sectPr w:rsidR="00DD72EB" w:rsidRPr="00D766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30139"/>
    <w:multiLevelType w:val="hybridMultilevel"/>
    <w:tmpl w:val="FCC6ED5C"/>
    <w:lvl w:ilvl="0" w:tplc="D1460B4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8A518AA"/>
    <w:multiLevelType w:val="hybridMultilevel"/>
    <w:tmpl w:val="0D0CD1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22747C"/>
    <w:multiLevelType w:val="hybridMultilevel"/>
    <w:tmpl w:val="587610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EDC6D4D"/>
    <w:multiLevelType w:val="hybridMultilevel"/>
    <w:tmpl w:val="E1F281A0"/>
    <w:lvl w:ilvl="0" w:tplc="4074107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789087619">
    <w:abstractNumId w:val="2"/>
  </w:num>
  <w:num w:numId="2" w16cid:durableId="545483942">
    <w:abstractNumId w:val="0"/>
  </w:num>
  <w:num w:numId="3" w16cid:durableId="245384156">
    <w:abstractNumId w:val="3"/>
  </w:num>
  <w:num w:numId="4" w16cid:durableId="59787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E"/>
    <w:rsid w:val="00067C29"/>
    <w:rsid w:val="000A6725"/>
    <w:rsid w:val="00167268"/>
    <w:rsid w:val="001B25E0"/>
    <w:rsid w:val="001C3458"/>
    <w:rsid w:val="00327F2B"/>
    <w:rsid w:val="00385EFA"/>
    <w:rsid w:val="003A0E3E"/>
    <w:rsid w:val="003B0E9E"/>
    <w:rsid w:val="0040726D"/>
    <w:rsid w:val="004F5EA2"/>
    <w:rsid w:val="00563CA9"/>
    <w:rsid w:val="00594F28"/>
    <w:rsid w:val="005A15D5"/>
    <w:rsid w:val="0063630A"/>
    <w:rsid w:val="00754356"/>
    <w:rsid w:val="0091384A"/>
    <w:rsid w:val="00A86120"/>
    <w:rsid w:val="00AB2AB9"/>
    <w:rsid w:val="00AD7D92"/>
    <w:rsid w:val="00BA5CC0"/>
    <w:rsid w:val="00D31CD8"/>
    <w:rsid w:val="00D671EC"/>
    <w:rsid w:val="00D7666F"/>
    <w:rsid w:val="00DD72EB"/>
    <w:rsid w:val="00E577D1"/>
    <w:rsid w:val="00EF16F2"/>
    <w:rsid w:val="00EF43A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F6B39"/>
  <w15:chartTrackingRefBased/>
  <w15:docId w15:val="{BC86007B-52E5-4EFA-B587-746DDD1E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A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A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A0E3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A0E3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A0E3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A0E3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A0E3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A0E3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A0E3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A0E3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A0E3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A0E3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A0E3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A0E3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A0E3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A0E3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A0E3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A0E3E"/>
    <w:rPr>
      <w:rFonts w:eastAsiaTheme="majorEastAsia" w:cstheme="majorBidi"/>
      <w:color w:val="272727" w:themeColor="text1" w:themeTint="D8"/>
    </w:rPr>
  </w:style>
  <w:style w:type="paragraph" w:styleId="Naslov">
    <w:name w:val="Title"/>
    <w:basedOn w:val="Normal"/>
    <w:next w:val="Normal"/>
    <w:link w:val="NaslovChar"/>
    <w:uiPriority w:val="10"/>
    <w:qFormat/>
    <w:rsid w:val="003A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A0E3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A0E3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A0E3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A0E3E"/>
    <w:pPr>
      <w:spacing w:before="160"/>
      <w:jc w:val="center"/>
    </w:pPr>
    <w:rPr>
      <w:i/>
      <w:iCs/>
      <w:color w:val="404040" w:themeColor="text1" w:themeTint="BF"/>
    </w:rPr>
  </w:style>
  <w:style w:type="character" w:customStyle="1" w:styleId="CitatChar">
    <w:name w:val="Citat Char"/>
    <w:basedOn w:val="Zadanifontodlomka"/>
    <w:link w:val="Citat"/>
    <w:uiPriority w:val="29"/>
    <w:rsid w:val="003A0E3E"/>
    <w:rPr>
      <w:i/>
      <w:iCs/>
      <w:color w:val="404040" w:themeColor="text1" w:themeTint="BF"/>
    </w:rPr>
  </w:style>
  <w:style w:type="paragraph" w:styleId="Odlomakpopisa">
    <w:name w:val="List Paragraph"/>
    <w:basedOn w:val="Normal"/>
    <w:uiPriority w:val="34"/>
    <w:qFormat/>
    <w:rsid w:val="003A0E3E"/>
    <w:pPr>
      <w:ind w:left="720"/>
      <w:contextualSpacing/>
    </w:pPr>
  </w:style>
  <w:style w:type="character" w:styleId="Jakoisticanje">
    <w:name w:val="Intense Emphasis"/>
    <w:basedOn w:val="Zadanifontodlomka"/>
    <w:uiPriority w:val="21"/>
    <w:qFormat/>
    <w:rsid w:val="003A0E3E"/>
    <w:rPr>
      <w:i/>
      <w:iCs/>
      <w:color w:val="0F4761" w:themeColor="accent1" w:themeShade="BF"/>
    </w:rPr>
  </w:style>
  <w:style w:type="paragraph" w:styleId="Naglaencitat">
    <w:name w:val="Intense Quote"/>
    <w:basedOn w:val="Normal"/>
    <w:next w:val="Normal"/>
    <w:link w:val="NaglaencitatChar"/>
    <w:uiPriority w:val="30"/>
    <w:qFormat/>
    <w:rsid w:val="003A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A0E3E"/>
    <w:rPr>
      <w:i/>
      <w:iCs/>
      <w:color w:val="0F4761" w:themeColor="accent1" w:themeShade="BF"/>
    </w:rPr>
  </w:style>
  <w:style w:type="character" w:styleId="Istaknutareferenca">
    <w:name w:val="Intense Reference"/>
    <w:basedOn w:val="Zadanifontodlomka"/>
    <w:uiPriority w:val="32"/>
    <w:qFormat/>
    <w:rsid w:val="003A0E3E"/>
    <w:rPr>
      <w:b/>
      <w:bCs/>
      <w:smallCaps/>
      <w:color w:val="0F4761" w:themeColor="accent1" w:themeShade="BF"/>
      <w:spacing w:val="5"/>
    </w:rPr>
  </w:style>
  <w:style w:type="character" w:styleId="Hiperveza">
    <w:name w:val="Hyperlink"/>
    <w:basedOn w:val="Zadanifontodlomka"/>
    <w:uiPriority w:val="99"/>
    <w:unhideWhenUsed/>
    <w:rsid w:val="003A0E3E"/>
    <w:rPr>
      <w:color w:val="467886" w:themeColor="hyperlink"/>
      <w:u w:val="single"/>
    </w:rPr>
  </w:style>
  <w:style w:type="character" w:styleId="Nerijeenospominjanje">
    <w:name w:val="Unresolved Mention"/>
    <w:basedOn w:val="Zadanifontodlomka"/>
    <w:uiPriority w:val="99"/>
    <w:semiHidden/>
    <w:unhideWhenUsed/>
    <w:rsid w:val="003A0E3E"/>
    <w:rPr>
      <w:color w:val="605E5C"/>
      <w:shd w:val="clear" w:color="auto" w:fill="E1DFDD"/>
    </w:rPr>
  </w:style>
  <w:style w:type="table" w:styleId="Reetkatablice">
    <w:name w:val="Table Grid"/>
    <w:basedOn w:val="Obinatablica"/>
    <w:uiPriority w:val="39"/>
    <w:rsid w:val="00AD7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3214</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Marica Pavlović</dc:creator>
  <cp:keywords/>
  <dc:description/>
  <cp:lastModifiedBy>Marica Pavlović</cp:lastModifiedBy>
  <cp:revision>2</cp:revision>
  <dcterms:created xsi:type="dcterms:W3CDTF">2026-03-13T07:28:00Z</dcterms:created>
  <dcterms:modified xsi:type="dcterms:W3CDTF">2026-03-13T07:28:00Z</dcterms:modified>
</cp:coreProperties>
</file>