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EA" w:rsidRPr="006933DA" w:rsidRDefault="006933DA" w:rsidP="00A178EA">
      <w:pPr>
        <w:jc w:val="center"/>
      </w:pPr>
      <w:proofErr w:type="spellStart"/>
      <w:r w:rsidRPr="006933DA">
        <w:t>Infodan</w:t>
      </w:r>
      <w:proofErr w:type="spellEnd"/>
      <w:r w:rsidR="00A178EA" w:rsidRPr="006933DA">
        <w:t xml:space="preserve"> – oblik suradnje škole i roditelja</w:t>
      </w:r>
    </w:p>
    <w:p w:rsidR="00A178EA" w:rsidRDefault="00A178EA" w:rsidP="000C6831">
      <w:pPr>
        <w:spacing w:line="259" w:lineRule="auto"/>
        <w:jc w:val="both"/>
      </w:pPr>
      <w:r w:rsidRPr="00A178EA">
        <w:t xml:space="preserve">Cilj je uvijek bolja suradnja škole i roditelja i razvijanje partnerskog odnosa. </w:t>
      </w:r>
      <w:proofErr w:type="spellStart"/>
      <w:r w:rsidRPr="00A178EA">
        <w:t>Infodan</w:t>
      </w:r>
      <w:proofErr w:type="spellEnd"/>
      <w:r w:rsidRPr="00A178EA">
        <w:t xml:space="preserve"> kao vid suradnje planiran je i pripreman od početka nastavne godine. Prvi put proveden je za roditelje čija djeca pohađaju 5. i 6. razred. Termin </w:t>
      </w:r>
      <w:r>
        <w:t xml:space="preserve">na kraju siječnja </w:t>
      </w:r>
      <w:r w:rsidRPr="00A178EA">
        <w:t xml:space="preserve">odabran </w:t>
      </w:r>
      <w:r>
        <w:t xml:space="preserve">je </w:t>
      </w:r>
      <w:r w:rsidRPr="00A178EA">
        <w:t>s razlogom: od rujna do siječnja uglavnom je dovoljno vr</w:t>
      </w:r>
      <w:r>
        <w:t>emena za upoznavanje i prikupljanje</w:t>
      </w:r>
      <w:r w:rsidRPr="00A178EA">
        <w:t xml:space="preserve"> informacija o učenju i ponašanju djeteta u školi, individualnim potrebama i interesima, za stjecanje dojmova i iskustava. </w:t>
      </w:r>
    </w:p>
    <w:p w:rsidR="00A178EA" w:rsidRDefault="00A178EA" w:rsidP="000C6831">
      <w:pPr>
        <w:spacing w:line="259" w:lineRule="auto"/>
        <w:jc w:val="both"/>
      </w:pPr>
      <w:proofErr w:type="spellStart"/>
      <w:r>
        <w:t>Infodan</w:t>
      </w:r>
      <w:proofErr w:type="spellEnd"/>
      <w:r>
        <w:t xml:space="preserve"> je individualni susret roditelja sa svim učiteljima/</w:t>
      </w:r>
      <w:proofErr w:type="spellStart"/>
      <w:r>
        <w:t>cama</w:t>
      </w:r>
      <w:proofErr w:type="spellEnd"/>
      <w:r>
        <w:t xml:space="preserve"> djeteta u trajanju od 5 minuta. Svaki je susret</w:t>
      </w:r>
      <w:r w:rsidR="003C1F1D">
        <w:t xml:space="preserve"> sadržajno</w:t>
      </w:r>
      <w:r>
        <w:t xml:space="preserve"> pripremljen: jače i slabije strane djeteta unutar nastavnog predmeta, ponašanje na nastavi, odnos prema obavezama, kvaliteta učenja, motivacija za predmet, savjeti za poboljšanje </w:t>
      </w:r>
      <w:r w:rsidR="000C6831">
        <w:t>i/</w:t>
      </w:r>
      <w:r>
        <w:t xml:space="preserve">ili usmjeravanje </w:t>
      </w:r>
      <w:r w:rsidR="008C6ADB">
        <w:t>u područje</w:t>
      </w:r>
      <w:r w:rsidR="003C1F1D">
        <w:t xml:space="preserve"> uočenog pojačanog interesa. </w:t>
      </w:r>
      <w:r w:rsidR="00F5389D">
        <w:t xml:space="preserve">Svakom roditelju poslan je poziv s naznačenim vremenom početka i kraja razgovora. </w:t>
      </w:r>
    </w:p>
    <w:p w:rsidR="006933DA" w:rsidRDefault="006933DA" w:rsidP="00A178EA">
      <w:pPr>
        <w:spacing w:line="259" w:lineRule="auto"/>
      </w:pPr>
      <w:r>
        <w:t xml:space="preserve">    </w:t>
      </w:r>
    </w:p>
    <w:p w:rsidR="006933DA" w:rsidRDefault="006933DA" w:rsidP="00A178EA">
      <w:pPr>
        <w:spacing w:line="259" w:lineRule="auto"/>
        <w:rPr>
          <w:noProof/>
          <w:lang w:eastAsia="hr-HR"/>
        </w:rPr>
      </w:pPr>
      <w:r>
        <w:t xml:space="preserve">   </w:t>
      </w:r>
      <w:r>
        <w:rPr>
          <w:noProof/>
          <w:lang w:eastAsia="hr-HR"/>
        </w:rPr>
        <w:t xml:space="preserve">              </w:t>
      </w:r>
      <w:r>
        <w:rPr>
          <w:noProof/>
          <w:lang w:eastAsia="hr-HR"/>
        </w:rPr>
        <w:drawing>
          <wp:inline distT="0" distB="0" distL="0" distR="0" wp14:anchorId="64337132" wp14:editId="248A659B">
            <wp:extent cx="4352925" cy="5972175"/>
            <wp:effectExtent l="0" t="0" r="9525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274" cy="5995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6831" w:rsidRPr="000C6831" w:rsidRDefault="000C6831" w:rsidP="00A178EA">
      <w:pPr>
        <w:spacing w:line="259" w:lineRule="auto"/>
        <w:rPr>
          <w:sz w:val="18"/>
          <w:szCs w:val="18"/>
        </w:rPr>
      </w:pPr>
      <w:r w:rsidRPr="000C6831">
        <w:rPr>
          <w:noProof/>
          <w:sz w:val="18"/>
          <w:szCs w:val="18"/>
          <w:lang w:eastAsia="hr-HR"/>
        </w:rPr>
        <w:t xml:space="preserve">Slika 1. Poziv za roditelje </w:t>
      </w:r>
    </w:p>
    <w:p w:rsidR="003C1F1D" w:rsidRDefault="003C1F1D" w:rsidP="000C6831">
      <w:pPr>
        <w:spacing w:line="259" w:lineRule="auto"/>
        <w:jc w:val="both"/>
      </w:pPr>
      <w:bookmarkStart w:id="0" w:name="_GoBack"/>
      <w:bookmarkEnd w:id="0"/>
      <w:r>
        <w:lastRenderedPageBreak/>
        <w:t>Unaprijed je sastavljen prec</w:t>
      </w:r>
      <w:r w:rsidR="008C6ADB">
        <w:t>izan individualni raspored</w:t>
      </w:r>
      <w:r w:rsidR="00691000">
        <w:t xml:space="preserve"> za svaki razredni odjel</w:t>
      </w:r>
      <w:r w:rsidR="008C6ADB">
        <w:t xml:space="preserve">. Raspored za učitelje sadržavao je točno vrijeme početka i završetka rada i osiguranih 5 minuta za svakog roditelja. </w:t>
      </w:r>
      <w:r w:rsidR="00CE4272">
        <w:t xml:space="preserve">Učitelji izbornih predmeta </w:t>
      </w:r>
      <w:r w:rsidR="00691000">
        <w:t xml:space="preserve">koji ne predaju svim učenicima </w:t>
      </w:r>
      <w:r w:rsidR="00CE4272">
        <w:t>u raspredu</w:t>
      </w:r>
      <w:r w:rsidR="00691000">
        <w:t xml:space="preserve"> su na početku ili na kraju.</w:t>
      </w:r>
      <w:r w:rsidR="008C6ADB">
        <w:t xml:space="preserve"> </w:t>
      </w:r>
      <w:r w:rsidR="00003B94">
        <w:t>Prostorije u kojima se provode individualni razgovori trebaju imati oznake nastavnog predmeta i imena učitelja/</w:t>
      </w:r>
      <w:proofErr w:type="spellStart"/>
      <w:r w:rsidR="00003B94">
        <w:t>ice</w:t>
      </w:r>
      <w:proofErr w:type="spellEnd"/>
      <w:r w:rsidR="00003B94">
        <w:t xml:space="preserve"> i prostorno slijediti predviđeni raspored. </w:t>
      </w:r>
      <w:r w:rsidR="000C51CD">
        <w:t>Precizan individualni raspored</w:t>
      </w:r>
      <w:r w:rsidR="00003B94">
        <w:t xml:space="preserve"> kojeg se bilo nužno držati</w:t>
      </w:r>
      <w:r w:rsidR="000C51CD" w:rsidRPr="000C51CD">
        <w:t xml:space="preserve"> omogućio je petominutni razgovor roditelja sa svakim učiteljem/</w:t>
      </w:r>
      <w:proofErr w:type="spellStart"/>
      <w:r w:rsidR="000C51CD" w:rsidRPr="000C51CD">
        <w:t>icom</w:t>
      </w:r>
      <w:proofErr w:type="spellEnd"/>
      <w:r w:rsidR="000C51CD" w:rsidRPr="000C51CD">
        <w:t xml:space="preserve"> svog djeteta odnosno upoznavanje i razmjenu mišljenja o temama bitnim za dijete sa svakim učiteljem/</w:t>
      </w:r>
      <w:proofErr w:type="spellStart"/>
      <w:r w:rsidR="000C51CD" w:rsidRPr="000C51CD">
        <w:t>icom</w:t>
      </w:r>
      <w:proofErr w:type="spellEnd"/>
      <w:r w:rsidR="000C51CD" w:rsidRPr="000C51CD">
        <w:t xml:space="preserve"> u samo 60</w:t>
      </w:r>
      <w:r w:rsidR="000C51CD">
        <w:t>/65</w:t>
      </w:r>
      <w:r w:rsidR="000C51CD" w:rsidRPr="000C51CD">
        <w:t xml:space="preserve"> minuta</w:t>
      </w:r>
      <w:r w:rsidR="00F5389D">
        <w:t xml:space="preserve"> (najčešće 12 ili 13 predmeta u 5. i 6. razredu)</w:t>
      </w:r>
      <w:r w:rsidR="000C51CD" w:rsidRPr="000C51CD">
        <w:t>.</w:t>
      </w:r>
    </w:p>
    <w:p w:rsidR="00691000" w:rsidRDefault="00691000" w:rsidP="00A178EA">
      <w:pPr>
        <w:spacing w:line="259" w:lineRule="auto"/>
      </w:pPr>
      <w:r>
        <w:rPr>
          <w:noProof/>
          <w:lang w:eastAsia="hr-HR"/>
        </w:rPr>
        <w:drawing>
          <wp:inline distT="0" distB="0" distL="0" distR="0" wp14:anchorId="08452058" wp14:editId="20891C3B">
            <wp:extent cx="5686425" cy="2110496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</a:extLst>
                    </a:blip>
                    <a:srcRect t="17215" r="32209" b="36692"/>
                    <a:stretch/>
                  </pic:blipFill>
                  <pic:spPr bwMode="auto">
                    <a:xfrm>
                      <a:off x="0" y="0"/>
                      <a:ext cx="5714449" cy="2120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6831" w:rsidRPr="000C6831" w:rsidRDefault="000C6831" w:rsidP="00A178EA">
      <w:pPr>
        <w:spacing w:line="259" w:lineRule="auto"/>
        <w:rPr>
          <w:sz w:val="18"/>
          <w:szCs w:val="18"/>
        </w:rPr>
      </w:pPr>
      <w:r w:rsidRPr="000C6831">
        <w:rPr>
          <w:sz w:val="18"/>
          <w:szCs w:val="18"/>
        </w:rPr>
        <w:t>Slika 2. Raspored individualnih informacija za učitelje/</w:t>
      </w:r>
      <w:proofErr w:type="spellStart"/>
      <w:r w:rsidRPr="000C6831">
        <w:rPr>
          <w:sz w:val="18"/>
          <w:szCs w:val="18"/>
        </w:rPr>
        <w:t>ice</w:t>
      </w:r>
      <w:proofErr w:type="spellEnd"/>
    </w:p>
    <w:p w:rsidR="00A178EA" w:rsidRPr="000C51CD" w:rsidRDefault="00A178EA" w:rsidP="00A178EA">
      <w:pPr>
        <w:jc w:val="both"/>
      </w:pPr>
    </w:p>
    <w:p w:rsidR="00A178EA" w:rsidRPr="000C51CD" w:rsidRDefault="00A178EA" w:rsidP="00A178EA">
      <w:pPr>
        <w:jc w:val="both"/>
      </w:pPr>
      <w:r w:rsidRPr="000C51CD">
        <w:t xml:space="preserve">Evaluacijskim upitnikom provjereni su stavovi i zadovoljstvo roditelja organizacijom, pripremljenošću učitelja i ispunjenost njihovih očekivanja. Rezultati evaluacije su iznimni, u potpunosti pozitivni i ohrabrujući. </w:t>
      </w:r>
    </w:p>
    <w:p w:rsidR="000C51CD" w:rsidRPr="000C51CD" w:rsidRDefault="000C51CD" w:rsidP="00296E23">
      <w:pPr>
        <w:shd w:val="clear" w:color="auto" w:fill="C5E0B3" w:themeFill="accent6" w:themeFillTint="66"/>
        <w:spacing w:line="259" w:lineRule="auto"/>
        <w:jc w:val="center"/>
      </w:pPr>
      <w:r w:rsidRPr="000C51CD">
        <w:t>EVALUACIJSKI LIST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6"/>
        <w:gridCol w:w="1268"/>
        <w:gridCol w:w="1372"/>
        <w:gridCol w:w="1301"/>
        <w:gridCol w:w="1296"/>
        <w:gridCol w:w="1339"/>
      </w:tblGrid>
      <w:tr w:rsidR="000C51CD" w:rsidRPr="000C51CD" w:rsidTr="00F5389D">
        <w:tc>
          <w:tcPr>
            <w:tcW w:w="2826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  <w:tc>
          <w:tcPr>
            <w:tcW w:w="249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  <w:jc w:val="center"/>
              <w:rPr>
                <w:b/>
              </w:rPr>
            </w:pPr>
            <w:r w:rsidRPr="000C51CD">
              <w:rPr>
                <w:b/>
              </w:rPr>
              <w:t>Nedovoljan (1)</w:t>
            </w:r>
          </w:p>
        </w:tc>
        <w:tc>
          <w:tcPr>
            <w:tcW w:w="1498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  <w:jc w:val="center"/>
              <w:rPr>
                <w:b/>
              </w:rPr>
            </w:pPr>
            <w:r w:rsidRPr="000C51CD">
              <w:rPr>
                <w:b/>
              </w:rPr>
              <w:t xml:space="preserve">Dovoljan </w:t>
            </w:r>
          </w:p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  <w:jc w:val="center"/>
              <w:rPr>
                <w:b/>
              </w:rPr>
            </w:pPr>
            <w:r w:rsidRPr="000C51CD">
              <w:rPr>
                <w:b/>
              </w:rPr>
              <w:t>(2)</w:t>
            </w:r>
          </w:p>
        </w:tc>
        <w:tc>
          <w:tcPr>
            <w:tcW w:w="1495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  <w:jc w:val="center"/>
              <w:rPr>
                <w:b/>
              </w:rPr>
            </w:pPr>
            <w:r w:rsidRPr="000C51CD">
              <w:rPr>
                <w:b/>
              </w:rPr>
              <w:t xml:space="preserve">Dobar </w:t>
            </w:r>
          </w:p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  <w:jc w:val="center"/>
              <w:rPr>
                <w:b/>
              </w:rPr>
            </w:pPr>
            <w:r w:rsidRPr="000C51CD">
              <w:rPr>
                <w:b/>
              </w:rPr>
              <w:t>(3)</w:t>
            </w:r>
          </w:p>
        </w:tc>
        <w:tc>
          <w:tcPr>
            <w:tcW w:w="1496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  <w:jc w:val="center"/>
              <w:rPr>
                <w:b/>
              </w:rPr>
            </w:pPr>
            <w:r w:rsidRPr="000C51CD">
              <w:rPr>
                <w:b/>
              </w:rPr>
              <w:t xml:space="preserve">Vrlo dobar </w:t>
            </w:r>
          </w:p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  <w:jc w:val="center"/>
              <w:rPr>
                <w:b/>
              </w:rPr>
            </w:pPr>
            <w:r w:rsidRPr="000C51CD">
              <w:rPr>
                <w:b/>
              </w:rPr>
              <w:t>(4)</w:t>
            </w:r>
          </w:p>
        </w:tc>
        <w:tc>
          <w:tcPr>
            <w:tcW w:w="1498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  <w:jc w:val="center"/>
              <w:rPr>
                <w:b/>
              </w:rPr>
            </w:pPr>
            <w:r w:rsidRPr="000C51CD">
              <w:rPr>
                <w:b/>
              </w:rPr>
              <w:t xml:space="preserve">Odličan </w:t>
            </w:r>
          </w:p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  <w:jc w:val="center"/>
              <w:rPr>
                <w:b/>
              </w:rPr>
            </w:pPr>
            <w:r w:rsidRPr="000C51CD">
              <w:rPr>
                <w:b/>
              </w:rPr>
              <w:t>(5)</w:t>
            </w:r>
          </w:p>
        </w:tc>
      </w:tr>
      <w:tr w:rsidR="000C51CD" w:rsidRPr="000C51CD" w:rsidTr="00F5389D">
        <w:tc>
          <w:tcPr>
            <w:tcW w:w="2826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  <w:rPr>
                <w:b/>
              </w:rPr>
            </w:pPr>
            <w:r w:rsidRPr="000C51CD">
              <w:rPr>
                <w:b/>
              </w:rPr>
              <w:t>Organizacija INFODANA.</w:t>
            </w:r>
          </w:p>
        </w:tc>
        <w:tc>
          <w:tcPr>
            <w:tcW w:w="249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  <w:tc>
          <w:tcPr>
            <w:tcW w:w="1498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  <w:tc>
          <w:tcPr>
            <w:tcW w:w="1495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  <w:tc>
          <w:tcPr>
            <w:tcW w:w="1496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  <w:tc>
          <w:tcPr>
            <w:tcW w:w="1498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</w:tr>
      <w:tr w:rsidR="000C51CD" w:rsidRPr="000C51CD" w:rsidTr="00F5389D">
        <w:tc>
          <w:tcPr>
            <w:tcW w:w="2826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  <w:rPr>
                <w:b/>
              </w:rPr>
            </w:pPr>
            <w:r w:rsidRPr="000C51CD">
              <w:rPr>
                <w:b/>
              </w:rPr>
              <w:t>Pripremljenost učitelja/</w:t>
            </w:r>
            <w:proofErr w:type="spellStart"/>
            <w:r w:rsidRPr="000C51CD">
              <w:rPr>
                <w:b/>
              </w:rPr>
              <w:t>ica</w:t>
            </w:r>
            <w:proofErr w:type="spellEnd"/>
            <w:r w:rsidRPr="000C51CD">
              <w:rPr>
                <w:b/>
              </w:rPr>
              <w:t>.</w:t>
            </w:r>
          </w:p>
        </w:tc>
        <w:tc>
          <w:tcPr>
            <w:tcW w:w="249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  <w:tc>
          <w:tcPr>
            <w:tcW w:w="1498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  <w:tc>
          <w:tcPr>
            <w:tcW w:w="1495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  <w:tc>
          <w:tcPr>
            <w:tcW w:w="1496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  <w:tc>
          <w:tcPr>
            <w:tcW w:w="1498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</w:tr>
      <w:tr w:rsidR="000C51CD" w:rsidRPr="000C51CD" w:rsidTr="00F5389D">
        <w:tc>
          <w:tcPr>
            <w:tcW w:w="2826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  <w:rPr>
                <w:b/>
              </w:rPr>
            </w:pPr>
            <w:r w:rsidRPr="000C51CD">
              <w:rPr>
                <w:b/>
              </w:rPr>
              <w:t>Korisnost INFODANA.</w:t>
            </w:r>
          </w:p>
        </w:tc>
        <w:tc>
          <w:tcPr>
            <w:tcW w:w="249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  <w:tc>
          <w:tcPr>
            <w:tcW w:w="1498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  <w:tc>
          <w:tcPr>
            <w:tcW w:w="1495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  <w:tc>
          <w:tcPr>
            <w:tcW w:w="1496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  <w:tc>
          <w:tcPr>
            <w:tcW w:w="1498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</w:tr>
      <w:tr w:rsidR="000C51CD" w:rsidRPr="000C51CD" w:rsidTr="00F5389D">
        <w:tc>
          <w:tcPr>
            <w:tcW w:w="2826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  <w:rPr>
                <w:b/>
              </w:rPr>
            </w:pPr>
            <w:r w:rsidRPr="000C51CD">
              <w:rPr>
                <w:b/>
              </w:rPr>
              <w:t xml:space="preserve">Sviđa mi se ovaj način rada. </w:t>
            </w:r>
          </w:p>
        </w:tc>
        <w:tc>
          <w:tcPr>
            <w:tcW w:w="249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  <w:tc>
          <w:tcPr>
            <w:tcW w:w="1498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  <w:tc>
          <w:tcPr>
            <w:tcW w:w="1495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  <w:tc>
          <w:tcPr>
            <w:tcW w:w="1496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  <w:tc>
          <w:tcPr>
            <w:tcW w:w="1498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</w:tr>
      <w:tr w:rsidR="000C51CD" w:rsidRPr="000C51CD" w:rsidTr="00F5389D">
        <w:tc>
          <w:tcPr>
            <w:tcW w:w="2826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  <w:rPr>
                <w:b/>
              </w:rPr>
            </w:pPr>
            <w:r w:rsidRPr="000C51CD">
              <w:rPr>
                <w:b/>
              </w:rPr>
              <w:t xml:space="preserve">INFODAN je ispunio očekivanja. </w:t>
            </w:r>
          </w:p>
        </w:tc>
        <w:tc>
          <w:tcPr>
            <w:tcW w:w="249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  <w:tc>
          <w:tcPr>
            <w:tcW w:w="1498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  <w:tc>
          <w:tcPr>
            <w:tcW w:w="1495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  <w:tc>
          <w:tcPr>
            <w:tcW w:w="1496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  <w:tc>
          <w:tcPr>
            <w:tcW w:w="1498" w:type="dxa"/>
            <w:shd w:val="clear" w:color="auto" w:fill="CCFFCC"/>
          </w:tcPr>
          <w:p w:rsidR="000C51CD" w:rsidRPr="000C51CD" w:rsidRDefault="000C51CD" w:rsidP="00296E23">
            <w:pPr>
              <w:shd w:val="clear" w:color="auto" w:fill="C5E0B3" w:themeFill="accent6" w:themeFillTint="66"/>
              <w:spacing w:line="240" w:lineRule="auto"/>
            </w:pPr>
          </w:p>
        </w:tc>
      </w:tr>
    </w:tbl>
    <w:p w:rsidR="000C51CD" w:rsidRPr="000C51CD" w:rsidRDefault="000C51CD" w:rsidP="00296E23">
      <w:pPr>
        <w:shd w:val="clear" w:color="auto" w:fill="C5E0B3" w:themeFill="accent6" w:themeFillTint="66"/>
        <w:spacing w:line="259" w:lineRule="auto"/>
      </w:pPr>
    </w:p>
    <w:p w:rsidR="000C51CD" w:rsidRPr="000C51CD" w:rsidRDefault="000C51CD" w:rsidP="00296E23">
      <w:pPr>
        <w:shd w:val="clear" w:color="auto" w:fill="C5E0B3" w:themeFill="accent6" w:themeFillTint="66"/>
        <w:spacing w:line="259" w:lineRule="auto"/>
      </w:pPr>
      <w:r w:rsidRPr="000C51CD">
        <w:t xml:space="preserve"> Pohvala, kritika, komentar: _________________________________________________________ </w:t>
      </w:r>
    </w:p>
    <w:p w:rsidR="001B488D" w:rsidRPr="000C6831" w:rsidRDefault="000C6831" w:rsidP="00A178EA">
      <w:pPr>
        <w:spacing w:line="259" w:lineRule="auto"/>
        <w:rPr>
          <w:sz w:val="18"/>
          <w:szCs w:val="18"/>
        </w:rPr>
      </w:pPr>
      <w:r w:rsidRPr="000C6831">
        <w:rPr>
          <w:sz w:val="18"/>
          <w:szCs w:val="18"/>
        </w:rPr>
        <w:t>Slika 3. Evaluacijski list za roditelje</w:t>
      </w:r>
    </w:p>
    <w:p w:rsidR="000C6831" w:rsidRDefault="001B488D" w:rsidP="000C6831">
      <w:pPr>
        <w:spacing w:line="259" w:lineRule="auto"/>
        <w:jc w:val="both"/>
      </w:pPr>
      <w:r>
        <w:t>Učitelji/</w:t>
      </w:r>
      <w:proofErr w:type="spellStart"/>
      <w:r>
        <w:t>ice</w:t>
      </w:r>
      <w:proofErr w:type="spellEnd"/>
      <w:r>
        <w:t xml:space="preserve"> koji su realizirali </w:t>
      </w:r>
      <w:proofErr w:type="spellStart"/>
      <w:r>
        <w:t>Infodan</w:t>
      </w:r>
      <w:proofErr w:type="spellEnd"/>
      <w:r>
        <w:t xml:space="preserve"> svoj stav iskazali su u anonimnoj anketi. Većina smatra da je </w:t>
      </w:r>
      <w:proofErr w:type="spellStart"/>
      <w:r>
        <w:t>Infodan</w:t>
      </w:r>
      <w:proofErr w:type="spellEnd"/>
      <w:r>
        <w:t xml:space="preserve"> vrlo koristan za uspjeh učenika, 75% učitelja je vrlo zadovoljno suradnjom s roditeljima, 70% smatra da je </w:t>
      </w:r>
      <w:proofErr w:type="spellStart"/>
      <w:r>
        <w:t>Infodan</w:t>
      </w:r>
      <w:proofErr w:type="spellEnd"/>
      <w:r>
        <w:t xml:space="preserve"> vrlo koristan za roditelje, 80% smatra da su roditelji otvoreni u komunikaciji, 60% smatra da roditelji uvažavaju mišljenje o djetetu. Učitelji su izdvojili razloge izvrsne suradnje: dvosmjerna komunikacija, povjerenje u učitelje i međusobna potpora. Kao razloge nezadovoljavajuće </w:t>
      </w:r>
      <w:r>
        <w:lastRenderedPageBreak/>
        <w:t xml:space="preserve">suradnje navode: nezainteresiranost roditelja (31%), nepoznavanje načina na koje bi roditelji mogli pridonijeti suradnji (25%), nepovjerenje u učitelje (18%) i narušena komunikacija (12%). </w:t>
      </w:r>
      <w:proofErr w:type="spellStart"/>
      <w:r>
        <w:t>Infodan</w:t>
      </w:r>
      <w:proofErr w:type="spellEnd"/>
      <w:r>
        <w:t xml:space="preserve"> je za 68% učitelja bio koristan, za 62% naporan i za 50% zanimljiv. Problemi koji su se pojavili u realizaciji: nepridržavanje rasporeda, nedostatak vremena u nekim slučajevima i pretjerano subjektivni roditelji.</w:t>
      </w:r>
      <w:r w:rsidR="00A05174">
        <w:t xml:space="preserve"> Učitelji smatraju (75% učitelja) da bi </w:t>
      </w:r>
      <w:proofErr w:type="spellStart"/>
      <w:r w:rsidR="00A05174">
        <w:t>Infodan</w:t>
      </w:r>
      <w:proofErr w:type="spellEnd"/>
      <w:r w:rsidR="00A05174">
        <w:t xml:space="preserve"> kao oblik suradnje trebalo provoditi jednom u nastavnoj godini, većina s</w:t>
      </w:r>
      <w:r w:rsidR="00003B94">
        <w:t xml:space="preserve">matra potrebnim </w:t>
      </w:r>
      <w:r w:rsidR="00A05174">
        <w:t>5. razredu</w:t>
      </w:r>
      <w:r w:rsidR="000C6831">
        <w:t xml:space="preserve"> (38%)</w:t>
      </w:r>
      <w:r w:rsidR="00003B94">
        <w:t xml:space="preserve"> odnosno u 1. i 5. </w:t>
      </w:r>
      <w:r w:rsidR="000C6831">
        <w:t xml:space="preserve">(25%) </w:t>
      </w:r>
      <w:r w:rsidR="00003B94">
        <w:t>razredu</w:t>
      </w:r>
      <w:r w:rsidR="00A05174">
        <w:t xml:space="preserve">. </w:t>
      </w:r>
    </w:p>
    <w:p w:rsidR="00A05174" w:rsidRDefault="000C6831" w:rsidP="000C6831">
      <w:pPr>
        <w:spacing w:line="259" w:lineRule="auto"/>
        <w:jc w:val="both"/>
      </w:pPr>
      <w:r>
        <w:t>Poziv za roditelje, raspored ind. informacija, evaluacijski upitnik i anketni upitnik za učitelje dostupni su</w:t>
      </w:r>
      <w:r w:rsidR="00003B94">
        <w:t xml:space="preserve"> na zahtjev putem dolje navedene e-adrese. </w:t>
      </w:r>
    </w:p>
    <w:p w:rsidR="00003B94" w:rsidRDefault="00003B94" w:rsidP="000C6831">
      <w:pPr>
        <w:spacing w:line="259" w:lineRule="auto"/>
        <w:jc w:val="both"/>
      </w:pPr>
    </w:p>
    <w:p w:rsidR="00A178EA" w:rsidRPr="00A178EA" w:rsidRDefault="00A178EA" w:rsidP="000C6831">
      <w:pPr>
        <w:spacing w:line="259" w:lineRule="auto"/>
        <w:jc w:val="both"/>
      </w:pPr>
      <w:r w:rsidRPr="00A178EA">
        <w:t xml:space="preserve">Učinke </w:t>
      </w:r>
      <w:proofErr w:type="spellStart"/>
      <w:r w:rsidRPr="00A178EA">
        <w:t>Infodana</w:t>
      </w:r>
      <w:proofErr w:type="spellEnd"/>
      <w:r w:rsidRPr="00A178EA">
        <w:t xml:space="preserve"> možemo samo pretpostaviti: bolji školski uspjeh djece, roditelji će dolaziti češće </w:t>
      </w:r>
      <w:r w:rsidR="001B488D">
        <w:t xml:space="preserve">ili rjeđe </w:t>
      </w:r>
      <w:r w:rsidRPr="00A178EA">
        <w:t xml:space="preserve">na individualne informacije, odnos roditelja i učitelja bit će partnerski, porast će međusobno povjerenje itd. </w:t>
      </w:r>
    </w:p>
    <w:p w:rsidR="00A178EA" w:rsidRPr="00A178EA" w:rsidRDefault="00A178EA" w:rsidP="000C6831">
      <w:pPr>
        <w:spacing w:line="259" w:lineRule="auto"/>
        <w:jc w:val="both"/>
        <w:rPr>
          <w:i/>
        </w:rPr>
      </w:pPr>
      <w:r w:rsidRPr="00A178EA">
        <w:rPr>
          <w:i/>
        </w:rPr>
        <w:t xml:space="preserve">Ovo nam nije trebalo, ali nam je drago što smo ovo napravili! </w:t>
      </w:r>
    </w:p>
    <w:p w:rsidR="00003B94" w:rsidRDefault="00003B94" w:rsidP="00A178EA">
      <w:pPr>
        <w:spacing w:line="259" w:lineRule="auto"/>
      </w:pPr>
    </w:p>
    <w:p w:rsidR="00003B94" w:rsidRDefault="00003B94" w:rsidP="00003B94">
      <w:pPr>
        <w:spacing w:after="0" w:line="259" w:lineRule="auto"/>
      </w:pPr>
      <w:r>
        <w:t xml:space="preserve">Martina </w:t>
      </w:r>
      <w:proofErr w:type="spellStart"/>
      <w:r>
        <w:t>Domladovac</w:t>
      </w:r>
      <w:proofErr w:type="spellEnd"/>
      <w:r>
        <w:t xml:space="preserve"> Prstac, prof.</w:t>
      </w:r>
    </w:p>
    <w:p w:rsidR="00003B94" w:rsidRDefault="000C6831" w:rsidP="00003B94">
      <w:pPr>
        <w:spacing w:after="0" w:line="259" w:lineRule="auto"/>
      </w:pPr>
      <w:r>
        <w:t>s</w:t>
      </w:r>
      <w:r w:rsidR="00003B94">
        <w:t>tručna suradnica pedagoginja</w:t>
      </w:r>
    </w:p>
    <w:p w:rsidR="00003B94" w:rsidRDefault="00003B94" w:rsidP="00003B94">
      <w:pPr>
        <w:spacing w:after="0" w:line="259" w:lineRule="auto"/>
      </w:pPr>
      <w:r>
        <w:t>OŠ „Slava Raškaj“ Ozalj</w:t>
      </w:r>
    </w:p>
    <w:p w:rsidR="00003B94" w:rsidRDefault="00747FC9" w:rsidP="00003B94">
      <w:pPr>
        <w:spacing w:after="0" w:line="259" w:lineRule="auto"/>
      </w:pPr>
      <w:hyperlink r:id="rId7" w:history="1">
        <w:r w:rsidR="00003B94" w:rsidRPr="00561642">
          <w:rPr>
            <w:rStyle w:val="Hiperveza"/>
          </w:rPr>
          <w:t>martina.domladovac-prstac@skole.hr</w:t>
        </w:r>
      </w:hyperlink>
    </w:p>
    <w:p w:rsidR="00003B94" w:rsidRDefault="00003B94" w:rsidP="00003B94">
      <w:pPr>
        <w:spacing w:after="0" w:line="259" w:lineRule="auto"/>
      </w:pPr>
    </w:p>
    <w:p w:rsidR="001B488D" w:rsidRPr="00A178EA" w:rsidRDefault="001B488D" w:rsidP="00A178EA">
      <w:pPr>
        <w:spacing w:line="259" w:lineRule="auto"/>
      </w:pPr>
    </w:p>
    <w:p w:rsidR="00EF515C" w:rsidRDefault="0009763A">
      <w:r>
        <w:t xml:space="preserve">U Ozlju, travanj 2023. </w:t>
      </w:r>
    </w:p>
    <w:sectPr w:rsidR="00EF5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57"/>
    <w:rsid w:val="00003B94"/>
    <w:rsid w:val="0009763A"/>
    <w:rsid w:val="000C51CD"/>
    <w:rsid w:val="000C6831"/>
    <w:rsid w:val="001B488D"/>
    <w:rsid w:val="00296E23"/>
    <w:rsid w:val="003C1F1D"/>
    <w:rsid w:val="003D03F1"/>
    <w:rsid w:val="00663D57"/>
    <w:rsid w:val="00691000"/>
    <w:rsid w:val="006933DA"/>
    <w:rsid w:val="00747FC9"/>
    <w:rsid w:val="00862F3F"/>
    <w:rsid w:val="008C6ADB"/>
    <w:rsid w:val="00A05174"/>
    <w:rsid w:val="00A178EA"/>
    <w:rsid w:val="00CE4272"/>
    <w:rsid w:val="00D65334"/>
    <w:rsid w:val="00EF515C"/>
    <w:rsid w:val="00F5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6E8E5-E028-4F26-B2D6-D67D7FEB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8E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C5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03B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tina.domladovac-prstac@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ucenik</cp:lastModifiedBy>
  <cp:revision>4</cp:revision>
  <cp:lastPrinted>2023-04-26T10:13:00Z</cp:lastPrinted>
  <dcterms:created xsi:type="dcterms:W3CDTF">2024-11-05T07:26:00Z</dcterms:created>
  <dcterms:modified xsi:type="dcterms:W3CDTF">2024-11-05T11:42:00Z</dcterms:modified>
</cp:coreProperties>
</file>